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98" w:rsidRDefault="008E5C98" w:rsidP="008E5C98">
      <w:pPr>
        <w:pStyle w:val="ListParagraph"/>
        <w:numPr>
          <w:ilvl w:val="0"/>
          <w:numId w:val="1"/>
        </w:numPr>
      </w:pPr>
      <w:r>
        <w:t xml:space="preserve"> What steps are we </w:t>
      </w:r>
      <w:proofErr w:type="spellStart"/>
      <w:r>
        <w:t>taking</w:t>
      </w:r>
      <w:proofErr w:type="spellEnd"/>
      <w:r>
        <w:t xml:space="preserve"> to reduce the budget?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>Close Retreat</w:t>
      </w:r>
      <w:r w:rsidR="001A3E98">
        <w:t xml:space="preserve"> ($25</w:t>
      </w:r>
      <w:r w:rsidR="00FB1B35">
        <w:t>M in FY20-21)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>Close housing units and redeploy staff to other areas to reduce OT ($2.5M in FY19-20)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 xml:space="preserve">Standard Schedules (help with OT scheduling, grievances, mandatory OT) – nothing this year – could </w:t>
      </w:r>
      <w:r w:rsidR="001A3E98">
        <w:t>save up to $3</w:t>
      </w:r>
      <w:r>
        <w:t>0M in the future</w:t>
      </w:r>
    </w:p>
    <w:p w:rsidR="008E5C98" w:rsidRDefault="00D30D0A" w:rsidP="008E5C98">
      <w:pPr>
        <w:pStyle w:val="ListParagraph"/>
        <w:numPr>
          <w:ilvl w:val="1"/>
          <w:numId w:val="1"/>
        </w:numPr>
      </w:pPr>
      <w:r>
        <w:t xml:space="preserve">SCI </w:t>
      </w:r>
      <w:r w:rsidR="008E5C98">
        <w:t>Cost Savings plans – reduce cleaning and maintenance supplies ($1M)</w:t>
      </w:r>
    </w:p>
    <w:p w:rsidR="00AD7E5A" w:rsidRDefault="00AD7E5A" w:rsidP="008E5C98">
      <w:pPr>
        <w:pStyle w:val="ListParagraph"/>
        <w:numPr>
          <w:ilvl w:val="1"/>
          <w:numId w:val="1"/>
        </w:numPr>
      </w:pPr>
      <w:r>
        <w:t>Merging DOC with Parole – more efficiencies can be realized – (projected $11M in FY20)</w:t>
      </w:r>
    </w:p>
    <w:p w:rsidR="00D30D0A" w:rsidRDefault="00D30D0A" w:rsidP="008E5C98">
      <w:pPr>
        <w:pStyle w:val="ListParagraph"/>
        <w:numPr>
          <w:ilvl w:val="1"/>
          <w:numId w:val="1"/>
        </w:numPr>
      </w:pPr>
      <w:r>
        <w:t>340B sa</w:t>
      </w:r>
      <w:r w:rsidR="00AD7E5A">
        <w:t>vings – HIV ($3.7M) and HEP C($4.7</w:t>
      </w:r>
      <w:r>
        <w:t>M)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>Freeze Fixed Assets ($3M)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 xml:space="preserve">JRI2 – reduce prison stay; </w:t>
      </w:r>
      <w:r w:rsidR="00D30D0A">
        <w:t xml:space="preserve">increase Boot Camp participation; increase State Drug Treatment Program (SDTP); </w:t>
      </w:r>
      <w:r>
        <w:t>get treatment in community (using MA)</w:t>
      </w:r>
    </w:p>
    <w:p w:rsidR="008E5C98" w:rsidRDefault="008E5C98" w:rsidP="008E5C98">
      <w:pPr>
        <w:pStyle w:val="ListParagraph"/>
        <w:numPr>
          <w:ilvl w:val="1"/>
          <w:numId w:val="1"/>
        </w:numPr>
      </w:pPr>
      <w:r>
        <w:t>Reorg - $400K in reducing/streamlining offices/bureaus</w:t>
      </w:r>
    </w:p>
    <w:p w:rsidR="001D6714" w:rsidRDefault="008E5C98" w:rsidP="001D6714">
      <w:pPr>
        <w:pStyle w:val="ListParagraph"/>
        <w:numPr>
          <w:ilvl w:val="1"/>
          <w:numId w:val="1"/>
        </w:numPr>
      </w:pPr>
      <w:r>
        <w:t xml:space="preserve">BCC Contracts – reevaluate mentoring and housing </w:t>
      </w:r>
    </w:p>
    <w:p w:rsidR="00BD0B95" w:rsidRDefault="00BD0B95" w:rsidP="001D6714">
      <w:pPr>
        <w:pStyle w:val="ListParagraph"/>
        <w:numPr>
          <w:ilvl w:val="1"/>
          <w:numId w:val="1"/>
        </w:numPr>
      </w:pPr>
      <w:r>
        <w:t>Food Contract – saved over $5M in FY18</w:t>
      </w:r>
    </w:p>
    <w:p w:rsidR="00BD0B95" w:rsidRDefault="00BD0B95" w:rsidP="001D6714">
      <w:pPr>
        <w:pStyle w:val="ListParagraph"/>
        <w:numPr>
          <w:ilvl w:val="1"/>
          <w:numId w:val="1"/>
        </w:numPr>
      </w:pPr>
      <w:r>
        <w:t>Medical RFP – consolidate administrative functions between medical, mental health, psychology, pharmacy – FY20</w:t>
      </w:r>
    </w:p>
    <w:p w:rsidR="00BD0B95" w:rsidRDefault="00BD0B95" w:rsidP="001D6714">
      <w:pPr>
        <w:pStyle w:val="ListParagraph"/>
        <w:numPr>
          <w:ilvl w:val="1"/>
          <w:numId w:val="1"/>
        </w:numPr>
      </w:pPr>
      <w:r>
        <w:t>Revised physical site inspections in order to improve our maintenance and replacement schedules</w:t>
      </w:r>
      <w:r w:rsidR="00AD7E5A">
        <w:t xml:space="preserve"> (will decrease emergency situations that usually have a 30% markup)</w:t>
      </w:r>
    </w:p>
    <w:p w:rsidR="00BD0B95" w:rsidRDefault="00BD0B95" w:rsidP="00AD7E5A">
      <w:pPr>
        <w:pStyle w:val="ListParagraph"/>
        <w:numPr>
          <w:ilvl w:val="2"/>
          <w:numId w:val="1"/>
        </w:numPr>
      </w:pPr>
      <w:r>
        <w:t>Purchase diagnostic equipment to perform maintenance in house</w:t>
      </w:r>
    </w:p>
    <w:p w:rsidR="00D376C5" w:rsidRDefault="00D376C5" w:rsidP="001D6714">
      <w:pPr>
        <w:pStyle w:val="ListParagraph"/>
        <w:numPr>
          <w:ilvl w:val="1"/>
          <w:numId w:val="1"/>
        </w:numPr>
      </w:pPr>
      <w:r>
        <w:t xml:space="preserve">Lean and BetaGov initiatives through creating the IDEA committee (Innovate, Develop, Experiment, Adapt) – more than 300 ideas have been submitted to the committee so far to reduce costs, recidivism, </w:t>
      </w:r>
      <w:r w:rsidR="00D30D0A">
        <w:t>and violence.</w:t>
      </w:r>
    </w:p>
    <w:p w:rsidR="001D6714" w:rsidRDefault="001D6714" w:rsidP="003A2285">
      <w:pPr>
        <w:pStyle w:val="ListParagraph"/>
        <w:numPr>
          <w:ilvl w:val="0"/>
          <w:numId w:val="1"/>
        </w:numPr>
      </w:pPr>
      <w:r>
        <w:t xml:space="preserve">Overtime is trending back down – </w:t>
      </w:r>
      <w:r w:rsidR="001A3E98">
        <w:t xml:space="preserve"> in FY14 it was 7.07% of total Personnel Costs (including Salaries, Benefits and Retirement), and it is trending at 5.27% in FY19.</w:t>
      </w:r>
      <w:r w:rsidR="00D30D0A">
        <w:t xml:space="preserve">  This is the lowest </w:t>
      </w:r>
      <w:proofErr w:type="gramStart"/>
      <w:r w:rsidR="00D30D0A">
        <w:t>it’s</w:t>
      </w:r>
      <w:proofErr w:type="gramEnd"/>
      <w:r w:rsidR="00D30D0A">
        <w:t xml:space="preserve"> been in the last 5 fiscal years.</w:t>
      </w:r>
      <w:r w:rsidR="00AD7E5A">
        <w:t xml:space="preserve">  </w:t>
      </w:r>
      <w:r w:rsidR="002E28A1">
        <w:t xml:space="preserve">During the same </w:t>
      </w:r>
      <w:proofErr w:type="gramStart"/>
      <w:r w:rsidR="002E28A1">
        <w:t>time frame</w:t>
      </w:r>
      <w:proofErr w:type="gramEnd"/>
      <w:r w:rsidR="002E28A1">
        <w:t>, OT with benefits was 9.7% of total Personnel in 2014 and 8.5% of total Personnel in 2019.</w:t>
      </w:r>
    </w:p>
    <w:p w:rsidR="001D6714" w:rsidRDefault="001D6714" w:rsidP="001D6714">
      <w:pPr>
        <w:pStyle w:val="ListParagraph"/>
        <w:jc w:val="center"/>
      </w:pPr>
      <w:bookmarkStart w:id="0" w:name="_GoBack"/>
      <w:bookmarkEnd w:id="0"/>
    </w:p>
    <w:p w:rsidR="008E5C98" w:rsidRDefault="001A3E98" w:rsidP="001A3E98">
      <w:pPr>
        <w:pStyle w:val="ListParagraph"/>
        <w:ind w:left="1440"/>
        <w:jc w:val="center"/>
      </w:pPr>
      <w:r>
        <w:rPr>
          <w:noProof/>
        </w:rPr>
        <w:drawing>
          <wp:inline distT="0" distB="0" distL="0" distR="0" wp14:anchorId="503131D5" wp14:editId="0A51A9D3">
            <wp:extent cx="4914900" cy="25717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9427F" w:rsidRDefault="001A3E98" w:rsidP="00184464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3EA96924" wp14:editId="04336186">
            <wp:extent cx="5591175" cy="28098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D7E5A" w:rsidRDefault="00AD7E5A" w:rsidP="0079427F">
      <w:pPr>
        <w:pStyle w:val="ListParagraph"/>
        <w:ind w:left="1440"/>
      </w:pPr>
    </w:p>
    <w:p w:rsidR="00AD7E5A" w:rsidRDefault="00324C24" w:rsidP="0079427F">
      <w:pPr>
        <w:pStyle w:val="ListParagraph"/>
        <w:ind w:left="1440"/>
      </w:pPr>
      <w:r>
        <w:t xml:space="preserve">Here are the OT Drivers for </w:t>
      </w:r>
      <w:r w:rsidR="00184464">
        <w:t xml:space="preserve">Security staff </w:t>
      </w:r>
      <w:r>
        <w:t>this FY19</w:t>
      </w:r>
      <w:r w:rsidR="00184464">
        <w:t xml:space="preserve"> through November.  </w:t>
      </w:r>
    </w:p>
    <w:p w:rsidR="00324C24" w:rsidRDefault="00324C24" w:rsidP="0079427F">
      <w:pPr>
        <w:pStyle w:val="ListParagraph"/>
        <w:ind w:left="1440"/>
      </w:pPr>
    </w:p>
    <w:p w:rsidR="00324C24" w:rsidRDefault="00324C24" w:rsidP="00184464">
      <w:pPr>
        <w:pStyle w:val="ListParagraph"/>
        <w:ind w:left="1440"/>
        <w:jc w:val="center"/>
      </w:pPr>
      <w:r w:rsidRPr="00324C24">
        <w:rPr>
          <w:noProof/>
        </w:rPr>
        <w:drawing>
          <wp:inline distT="0" distB="0" distL="0" distR="0">
            <wp:extent cx="4073962" cy="42957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73" cy="43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C24" w:rsidRDefault="00324C24" w:rsidP="0079427F">
      <w:pPr>
        <w:pStyle w:val="ListParagraph"/>
        <w:ind w:left="1440"/>
      </w:pPr>
    </w:p>
    <w:p w:rsidR="00324C24" w:rsidRDefault="00324C24" w:rsidP="0079427F">
      <w:pPr>
        <w:pStyle w:val="ListParagraph"/>
        <w:ind w:left="1440"/>
      </w:pPr>
      <w:r>
        <w:t xml:space="preserve">If </w:t>
      </w:r>
      <w:proofErr w:type="gramStart"/>
      <w:r>
        <w:t>Statewide</w:t>
      </w:r>
      <w:proofErr w:type="gramEnd"/>
      <w:r>
        <w:t xml:space="preserve"> standard work schedules were approved by PSCOA, we could safely reduce overtime by approximately $30M with electronic time keeping and optimizing scheduling OT.  </w:t>
      </w:r>
      <w:r w:rsidR="00184464">
        <w:t>As you can see above, we need an optimization system to help schedule staff at appropriate times (addressing heavy hospital days, extended leave, call-offs, set up block training during regular hours).</w:t>
      </w:r>
    </w:p>
    <w:sectPr w:rsidR="00324C24" w:rsidSect="001844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1959"/>
    <w:multiLevelType w:val="hybridMultilevel"/>
    <w:tmpl w:val="526A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98"/>
    <w:rsid w:val="00154129"/>
    <w:rsid w:val="00184464"/>
    <w:rsid w:val="001A3E98"/>
    <w:rsid w:val="001D6714"/>
    <w:rsid w:val="002E28A1"/>
    <w:rsid w:val="00324C24"/>
    <w:rsid w:val="00510B43"/>
    <w:rsid w:val="0079427F"/>
    <w:rsid w:val="008E5C98"/>
    <w:rsid w:val="008F7AF8"/>
    <w:rsid w:val="00A773A3"/>
    <w:rsid w:val="00AD7E5A"/>
    <w:rsid w:val="00BD0B95"/>
    <w:rsid w:val="00D27A9F"/>
    <w:rsid w:val="00D30D0A"/>
    <w:rsid w:val="00D376C5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EA42"/>
  <w15:chartTrackingRefBased/>
  <w15:docId w15:val="{3BFFB122-6D65-4A61-A685-DAD6EEB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bell\AppData\Local\Microsoft\Windows\INetCache\Content.Outlook\T49I2NOE\Personnel%205-Year%20Lookback%2012-16-19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crtechome\home$\nbell\OT%20Optimization%20Analysis\Payroll%20Posting%20OT%20Historical%20(Autosaved)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Table!$K$55</c:f>
              <c:strCache>
                <c:ptCount val="1"/>
                <c:pt idx="0">
                  <c:v>OT Percent of Total Personnel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Table!$L$28:$Q$28</c:f>
              <c:strCach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strCache>
            </c:strRef>
          </c:cat>
          <c:val>
            <c:numRef>
              <c:f>Table!$L$55:$Q$55</c:f>
              <c:numCache>
                <c:formatCode>0.00%</c:formatCode>
                <c:ptCount val="6"/>
                <c:pt idx="0">
                  <c:v>7.0729896573229922E-2</c:v>
                </c:pt>
                <c:pt idx="1">
                  <c:v>6.2682865921707284E-2</c:v>
                </c:pt>
                <c:pt idx="2">
                  <c:v>5.7915024554155758E-2</c:v>
                </c:pt>
                <c:pt idx="3">
                  <c:v>5.7586409164696511E-2</c:v>
                </c:pt>
                <c:pt idx="4">
                  <c:v>6.7984130112254237E-2</c:v>
                </c:pt>
                <c:pt idx="5">
                  <c:v>5.2700475668811787E-2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5-4C90-BB38-389C23A4DD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40304808"/>
        <c:axId val="640300544"/>
      </c:barChart>
      <c:catAx>
        <c:axId val="64030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0300544"/>
        <c:crosses val="autoZero"/>
        <c:auto val="1"/>
        <c:lblAlgn val="ctr"/>
        <c:lblOffset val="100"/>
        <c:noMultiLvlLbl val="0"/>
      </c:catAx>
      <c:valAx>
        <c:axId val="6403005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640304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ALL SCI</a:t>
            </a:r>
            <a:r>
              <a:rPr lang="en-US" baseline="0"/>
              <a:t> Overtime FY14 through Projected FY19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Amount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50800" algn="tl" rotWithShape="0">
                <a:srgbClr val="000000">
                  <a:alpha val="64000"/>
                </a:srgbClr>
              </a:outerShdw>
            </a:effectLst>
          </c:spPr>
          <c:invertIfNegative val="0"/>
          <c:dLbls>
            <c:dLbl>
              <c:idx val="4"/>
              <c:layout>
                <c:manualLayout>
                  <c:x val="-1.2329968253921002E-16"/>
                  <c:y val="0.124764198995673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BEE-472C-A0CA-E132620CF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Sheet2!$H$2:$M$2</c:f>
              <c:strCach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strCache>
            </c:strRef>
          </c:cat>
          <c:val>
            <c:numRef>
              <c:f>Sheet2!$B$37:$G$37</c:f>
              <c:numCache>
                <c:formatCode>\$\ #,##0.00</c:formatCode>
                <c:ptCount val="6"/>
                <c:pt idx="0">
                  <c:v>103905956.98999999</c:v>
                </c:pt>
                <c:pt idx="1">
                  <c:v>100087421.39</c:v>
                </c:pt>
                <c:pt idx="2">
                  <c:v>97287014.200000003</c:v>
                </c:pt>
                <c:pt idx="3">
                  <c:v>94413776.170000002</c:v>
                </c:pt>
                <c:pt idx="4">
                  <c:v>115035898.54000001</c:v>
                </c:pt>
                <c:pt idx="5" formatCode="_(&quot;$&quot;* #,##0.00_);_(&quot;$&quot;* \(#,##0.00\);_(&quot;$&quot;* &quot;-&quot;??_);_(@_)">
                  <c:v>99110035.792857155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EE-472C-A0CA-E132620CFE0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62227688"/>
        <c:axId val="562229984"/>
      </c:barChart>
      <c:lineChart>
        <c:grouping val="standard"/>
        <c:varyColors val="0"/>
        <c:ser>
          <c:idx val="1"/>
          <c:order val="1"/>
          <c:tx>
            <c:strRef>
              <c:f>Sheet2!$H$1</c:f>
              <c:strCache>
                <c:ptCount val="1"/>
                <c:pt idx="0">
                  <c:v>Actual time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>
              <a:outerShdw blurRad="50800" algn="tl" rotWithShape="0">
                <a:srgbClr val="000000">
                  <a:alpha val="64000"/>
                </a:srgbClr>
              </a:outerShdw>
            </a:effectLst>
          </c:spPr>
          <c:marker>
            <c:symbol val="circle"/>
            <c:size val="4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50800" algn="tl" rotWithShape="0">
                  <a:srgbClr val="000000">
                    <a:alpha val="64000"/>
                  </a:srgb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Sheet2!$H$2:$M$2</c:f>
              <c:strCach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strCache>
            </c:strRef>
          </c:cat>
          <c:val>
            <c:numRef>
              <c:f>Sheet2!$H$37:$M$37</c:f>
              <c:numCache>
                <c:formatCode>#,##0.00\ "H"</c:formatCode>
                <c:ptCount val="6"/>
                <c:pt idx="0">
                  <c:v>2844094.53</c:v>
                </c:pt>
                <c:pt idx="1">
                  <c:v>2732867.08</c:v>
                </c:pt>
                <c:pt idx="2">
                  <c:v>2581263.48</c:v>
                </c:pt>
                <c:pt idx="3">
                  <c:v>2449917.7400000002</c:v>
                </c:pt>
                <c:pt idx="4">
                  <c:v>2831208.75</c:v>
                </c:pt>
                <c:pt idx="5" formatCode="_(* #,##0.00_);_(* \(#,##0.00\);_(* &quot;-&quot;??_);_(@_)">
                  <c:v>2551668.8971428573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EE-472C-A0CA-E132620CFE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6067776"/>
        <c:axId val="826069416"/>
      </c:lineChart>
      <c:catAx>
        <c:axId val="562227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2229984"/>
        <c:crosses val="autoZero"/>
        <c:auto val="1"/>
        <c:lblAlgn val="ctr"/>
        <c:lblOffset val="100"/>
        <c:noMultiLvlLbl val="0"/>
      </c:catAx>
      <c:valAx>
        <c:axId val="56222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\ #,##0.0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2227688"/>
        <c:crosses val="autoZero"/>
        <c:crossBetween val="between"/>
      </c:valAx>
      <c:valAx>
        <c:axId val="826069416"/>
        <c:scaling>
          <c:orientation val="minMax"/>
        </c:scaling>
        <c:delete val="0"/>
        <c:axPos val="r"/>
        <c:numFmt formatCode="#,##0.00\ &quot;H&quot;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6067776"/>
        <c:crosses val="max"/>
        <c:crossBetween val="between"/>
      </c:valAx>
      <c:catAx>
        <c:axId val="826067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6069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Nicolette</dc:creator>
  <cp:keywords/>
  <dc:description/>
  <cp:lastModifiedBy>Bell, Nicolette</cp:lastModifiedBy>
  <cp:revision>3</cp:revision>
  <cp:lastPrinted>2020-01-21T18:51:00Z</cp:lastPrinted>
  <dcterms:created xsi:type="dcterms:W3CDTF">2020-02-26T22:25:00Z</dcterms:created>
  <dcterms:modified xsi:type="dcterms:W3CDTF">2020-02-26T22:26:00Z</dcterms:modified>
</cp:coreProperties>
</file>